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宋体" w:hAnsi="宋体" w:eastAsia="黑体" w:cs="宋体"/>
          <w:kern w:val="0"/>
          <w:sz w:val="32"/>
          <w:szCs w:val="32"/>
        </w:rPr>
        <w:t> </w:t>
      </w:r>
      <w:r>
        <w:rPr>
          <w:rFonts w:hint="eastAsia" w:ascii="黑体" w:hAnsi="宋体" w:eastAsia="黑体" w:cs="宋体"/>
          <w:kern w:val="0"/>
          <w:sz w:val="32"/>
          <w:szCs w:val="32"/>
        </w:rPr>
        <w:t>霜冻预警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>    霜冻预警信号分3级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1. 霜冻蓝色预警信号：48小时内地面最低温度将要下降到0℃以下，对农业将产生影响，或者已经降到0℃以下，对农业已经产生影响，并可能持续。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应对措施：①政府及农林主管部门按照职责做好防霜冻准备工作。②对农作物、蔬菜、花卉、瓜果、林业育种要采取一定的防护措施。③农村基层组织和农户要关注当地霜冻预警信息，以便采取措施加强防护。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2.霜冻黄色预警信号：24小时内地面最低温度将要下降到零下3℃以下，对农业将产生严重影响，或者已经降到零下3℃以下，对农业已经产生严重影响，并可能持续。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农林主管部门按照职责做好防霜冻应急工作。②农村基层组织要广泛发动群众，防灾抗灾。③对农作物、林业育种要积极采取田间灌溉等防霜冻、冰冻措施，尽量减少损失。④对蔬菜、花卉、瓜果要采取覆盖、喷洒防冻液等措施，减轻冻害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3.霜冻橙色预警信号：24小时内地面最低温度将要下降到零下5℃以下，对农业将产生严重影响，或者已经降到零下5℃以下，对农业已经产生严重影响，并将持续。 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</w:rPr>
        <w:t xml:space="preserve">    应对措施：①政府及农林主管部门按照职责做好防霜冻应急工作。②农村基层组织要广泛发动群众，防灾抗灾。③对农作物、蔬菜、花卉、瓜果、林业育种要采取积极的应对措施，尽量减少损失。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829CC"/>
    <w:rsid w:val="3DB829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2016-07-30T08:40:00Z</dcterms:created>
  <dc:creator>lqw</dc:creator>
  <cp:lastModifiedBy>lqw</cp:lastModifiedBy>
  <dcterms:modified xsi:type="dcterms:W3CDTF">2016-07-30T08:40:16Z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