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 w:ascii="宋体" w:hAnsi="宋体" w:eastAsia="黑体" w:cs="宋体"/>
          <w:kern w:val="0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黑体" w:cs="宋体"/>
          <w:kern w:val="0"/>
          <w:sz w:val="32"/>
          <w:szCs w:val="32"/>
        </w:rPr>
        <w:t> </w:t>
      </w:r>
      <w:r>
        <w:rPr>
          <w:rFonts w:hint="eastAsia" w:ascii="黑体" w:hAnsi="宋体" w:eastAsia="黑体" w:cs="宋体"/>
          <w:kern w:val="0"/>
          <w:sz w:val="32"/>
          <w:szCs w:val="32"/>
        </w:rPr>
        <w:t>暴雨预警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   暴雨预警信号分4级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1. 暴雨蓝色预警信号：12小时内降雨量将达50mm以上，或者已达50mm以上，且降雨可能持续。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相关部门按照职责做好防暴雨准备工作。②学校、幼儿园采取适当措施，保证学生和幼儿安全。③驾驶人员应当注意道路积水和交通阻塞，确保安全。④检查城市、农田、鱼塘排水系统，做好排涝准备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2. 暴雨黄色预警信号： 6小时内降雨量将达50mm以上，或者已达50mm以上,且降雨可能持续。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相关部门按照职责做好防暴雨工作。②交通管理部门应当根据路况在强降雨路段采取交通管制措施，在积水路段实行交通引导。③切断低洼地带有危险的室外电源，暂停在空旷地方的户外作业，转移危险地带人员和危房居民到安全场所避雨。④检查城市、农田、鱼塘排水系统，采取必要的排涝措施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3. 暴雨橙色预警信号：3小时内降雨量将达50mm以上，或者已达50mm以上,且降雨可能持续。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相关部门按照职责做好防暴雨应急工作。②切断有危险的室外电源，暂停户外作业。③处于危险地带的单位应当停课、停业，采取专门措施保护已到校学生、幼儿和其他上班人员的安全。④做好城市、农田的排涝，注意防范可能引发的山洪、滑坡、泥石流等灾害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4. 暴雨红色预警信号： 3小时内降雨量将达100mm以上，或者已达100mm以上,且降雨可能持续。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   应对措施：①政府及相关部门按照职责做好防暴雨应急和抢险工作。②停止集会、停课、停业（除特殊行业外）。③做好山洪、滑坡、泥石流等灾害的防御和抢险工作。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1D04"/>
    <w:rsid w:val="4A0B1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2016-07-30T08:40:00Z</dcterms:created>
  <dc:creator>lqw</dc:creator>
  <cp:lastModifiedBy>lqw</cp:lastModifiedBy>
  <dcterms:modified xsi:type="dcterms:W3CDTF">2016-07-30T08:41:00Z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